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20F582E7" w:rsidR="00932F8D" w:rsidRDefault="005A0029">
      <w:pPr>
        <w:rPr>
          <w:rFonts w:ascii="Arial" w:eastAsia="Arial" w:hAnsi="Arial" w:cs="Arial"/>
          <w:b/>
          <w:sz w:val="36"/>
          <w:szCs w:val="36"/>
        </w:rPr>
      </w:pPr>
      <w:r>
        <w:rPr>
          <w:rFonts w:ascii="Arial" w:eastAsia="Arial" w:hAnsi="Arial" w:cs="Arial"/>
          <w:b/>
          <w:sz w:val="36"/>
          <w:szCs w:val="36"/>
        </w:rPr>
        <w:t>Framework Schedule 3 (Framework Prices)</w:t>
      </w:r>
    </w:p>
    <w:p w14:paraId="63EB92FA" w14:textId="77777777" w:rsidR="00151063" w:rsidRPr="00F27A4D" w:rsidRDefault="00151063" w:rsidP="00151063">
      <w:pPr>
        <w:pStyle w:val="GPSL1CLAUSEHEADING"/>
        <w:numPr>
          <w:ilvl w:val="0"/>
          <w:numId w:val="3"/>
        </w:numPr>
        <w:tabs>
          <w:tab w:val="clear" w:pos="0"/>
          <w:tab w:val="left" w:pos="142"/>
        </w:tabs>
        <w:spacing w:before="120"/>
        <w:ind w:left="426" w:hanging="426"/>
        <w:jc w:val="left"/>
        <w:rPr>
          <w:caps w:val="0"/>
          <w:sz w:val="24"/>
        </w:rPr>
      </w:pPr>
      <w:r>
        <w:rPr>
          <w:caps w:val="0"/>
          <w:sz w:val="24"/>
        </w:rPr>
        <w:t>Definitions</w:t>
      </w:r>
    </w:p>
    <w:p w14:paraId="05ABAEC4" w14:textId="5C704893" w:rsidR="00B93C53" w:rsidRPr="00151063" w:rsidRDefault="00151063" w:rsidP="00151063">
      <w:pPr>
        <w:pStyle w:val="GPSL2NumberedBoldHeading"/>
        <w:keepNext/>
        <w:numPr>
          <w:ilvl w:val="1"/>
          <w:numId w:val="3"/>
        </w:numPr>
        <w:tabs>
          <w:tab w:val="clear" w:pos="1134"/>
        </w:tabs>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8234" w:type="dxa"/>
        <w:tblInd w:w="1008" w:type="dxa"/>
        <w:tblLayout w:type="fixed"/>
        <w:tblLook w:val="04A0" w:firstRow="1" w:lastRow="0" w:firstColumn="1" w:lastColumn="0" w:noHBand="0" w:noVBand="1"/>
      </w:tblPr>
      <w:tblGrid>
        <w:gridCol w:w="3150"/>
        <w:gridCol w:w="5084"/>
      </w:tblGrid>
      <w:tr w:rsidR="00151063" w:rsidRPr="007779C4" w14:paraId="6857EA26" w14:textId="77777777" w:rsidTr="00AE7B48">
        <w:tc>
          <w:tcPr>
            <w:tcW w:w="3150" w:type="dxa"/>
          </w:tcPr>
          <w:p w14:paraId="6E91E899" w14:textId="2301301D" w:rsidR="00151063" w:rsidRPr="007779C4" w:rsidRDefault="00151063" w:rsidP="00151063">
            <w:pPr>
              <w:pStyle w:val="GPSDefinitionL2"/>
              <w:numPr>
                <w:ilvl w:val="0"/>
                <w:numId w:val="0"/>
              </w:numPr>
              <w:ind w:left="1440"/>
              <w:jc w:val="left"/>
              <w:rPr>
                <w:b/>
                <w:sz w:val="24"/>
              </w:rPr>
            </w:pPr>
            <w:r>
              <w:rPr>
                <w:b/>
                <w:sz w:val="24"/>
              </w:rPr>
              <w:t>“Interchange ++”</w:t>
            </w:r>
          </w:p>
        </w:tc>
        <w:tc>
          <w:tcPr>
            <w:tcW w:w="5084" w:type="dxa"/>
          </w:tcPr>
          <w:p w14:paraId="6E95151D" w14:textId="57DE3983" w:rsidR="00151063" w:rsidRPr="007779C4" w:rsidRDefault="00881A30" w:rsidP="00881A30">
            <w:pPr>
              <w:pStyle w:val="GPSDefinitionL2"/>
              <w:numPr>
                <w:ilvl w:val="0"/>
                <w:numId w:val="0"/>
              </w:numPr>
              <w:tabs>
                <w:tab w:val="clear" w:pos="144"/>
              </w:tabs>
              <w:ind w:left="125"/>
              <w:jc w:val="left"/>
              <w:rPr>
                <w:b/>
                <w:sz w:val="24"/>
              </w:rPr>
            </w:pPr>
            <w:r w:rsidRPr="00881A30">
              <w:rPr>
                <w:sz w:val="24"/>
              </w:rPr>
              <w:t xml:space="preserve">Where the price charged to a </w:t>
            </w:r>
            <w:r>
              <w:rPr>
                <w:sz w:val="24"/>
              </w:rPr>
              <w:t>Buyer</w:t>
            </w:r>
            <w:r w:rsidRPr="00881A30">
              <w:rPr>
                <w:sz w:val="24"/>
              </w:rPr>
              <w:t xml:space="preserve"> for card transactions is disaggregated into the price applicable to the </w:t>
            </w:r>
            <w:r>
              <w:rPr>
                <w:sz w:val="24"/>
              </w:rPr>
              <w:t>Supplier services</w:t>
            </w:r>
            <w:r w:rsidRPr="00881A30">
              <w:rPr>
                <w:sz w:val="24"/>
              </w:rPr>
              <w:t xml:space="preserve"> and to which is added scheme fees and interchange fees</w:t>
            </w:r>
          </w:p>
        </w:tc>
      </w:tr>
      <w:tr w:rsidR="00151063" w:rsidRPr="007779C4" w14:paraId="0E0D0403" w14:textId="77777777" w:rsidTr="00AE7B48">
        <w:tc>
          <w:tcPr>
            <w:tcW w:w="3150" w:type="dxa"/>
          </w:tcPr>
          <w:p w14:paraId="0FBEB44F" w14:textId="48B75BA0" w:rsidR="00151063" w:rsidRPr="007779C4" w:rsidRDefault="001178F4" w:rsidP="00151063">
            <w:pPr>
              <w:pStyle w:val="GPSDefinitionL2"/>
              <w:numPr>
                <w:ilvl w:val="0"/>
                <w:numId w:val="0"/>
              </w:numPr>
              <w:ind w:left="1440"/>
              <w:jc w:val="left"/>
              <w:rPr>
                <w:b/>
                <w:sz w:val="24"/>
              </w:rPr>
            </w:pPr>
            <w:r>
              <w:rPr>
                <w:b/>
                <w:sz w:val="24"/>
              </w:rPr>
              <w:t>Volume Threshold</w:t>
            </w:r>
          </w:p>
        </w:tc>
        <w:tc>
          <w:tcPr>
            <w:tcW w:w="5084" w:type="dxa"/>
          </w:tcPr>
          <w:p w14:paraId="221801E2" w14:textId="3A599AA1" w:rsidR="00151063" w:rsidRPr="00881A30" w:rsidRDefault="00BA3757" w:rsidP="00881A30">
            <w:pPr>
              <w:pStyle w:val="GPSDefinitionL2"/>
              <w:numPr>
                <w:ilvl w:val="0"/>
                <w:numId w:val="0"/>
              </w:numPr>
              <w:tabs>
                <w:tab w:val="clear" w:pos="144"/>
              </w:tabs>
              <w:ind w:left="125"/>
              <w:jc w:val="left"/>
              <w:rPr>
                <w:sz w:val="24"/>
              </w:rPr>
            </w:pPr>
            <w:r w:rsidRPr="00881A30">
              <w:rPr>
                <w:sz w:val="24"/>
              </w:rPr>
              <w:t xml:space="preserve">a price reduction </w:t>
            </w:r>
            <w:r w:rsidR="00881A30" w:rsidRPr="00881A30">
              <w:rPr>
                <w:sz w:val="24"/>
              </w:rPr>
              <w:t>implemented by the Supplier</w:t>
            </w:r>
            <w:r w:rsidRPr="00881A30">
              <w:rPr>
                <w:sz w:val="24"/>
              </w:rPr>
              <w:t xml:space="preserve"> </w:t>
            </w:r>
            <w:r w:rsidR="00881A30" w:rsidRPr="00881A30">
              <w:rPr>
                <w:sz w:val="24"/>
              </w:rPr>
              <w:t>based on the volume of Buyer transactions during the entire Call Off period</w:t>
            </w:r>
          </w:p>
        </w:tc>
      </w:tr>
    </w:tbl>
    <w:p w14:paraId="5A9D100F" w14:textId="77777777" w:rsidR="00151063" w:rsidRPr="00151063" w:rsidRDefault="00151063" w:rsidP="00151063">
      <w:pPr>
        <w:pStyle w:val="GPSL2NumberedBoldHeading"/>
        <w:keepNext/>
        <w:tabs>
          <w:tab w:val="clear" w:pos="1134"/>
        </w:tabs>
        <w:ind w:left="990" w:firstLine="0"/>
        <w:jc w:val="left"/>
        <w:rPr>
          <w:rFonts w:ascii="Arial" w:eastAsia="Calibri" w:hAnsi="Arial"/>
          <w:b w:val="0"/>
          <w:sz w:val="24"/>
          <w:lang w:eastAsia="en-US"/>
        </w:rPr>
      </w:pPr>
      <w:bookmarkStart w:id="0" w:name="_GoBack"/>
      <w:bookmarkEnd w:id="0"/>
    </w:p>
    <w:p w14:paraId="7CA6AADB" w14:textId="77CBC6BB" w:rsidR="00B93C53" w:rsidRDefault="005A0029" w:rsidP="00151063">
      <w:pPr>
        <w:pStyle w:val="GPSL1CLAUSEHEADING"/>
      </w:pPr>
      <w:bookmarkStart w:id="1" w:name="_heading=h.gjdgxs" w:colFirst="0" w:colLast="0"/>
      <w:bookmarkEnd w:id="1"/>
      <w:r>
        <w:t>How Framework Prices are used to calculate Call-Off Charges</w:t>
      </w:r>
    </w:p>
    <w:p w14:paraId="00000003" w14:textId="77777777" w:rsidR="00932F8D" w:rsidRDefault="005A0029" w:rsidP="00FA0737">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932F8D" w:rsidRDefault="005A0029">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 be decreased by the Supplier as part of any further competition or at any time.</w:t>
      </w:r>
    </w:p>
    <w:p w14:paraId="00000007" w14:textId="77777777"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Charges:</w:t>
      </w:r>
    </w:p>
    <w:p w14:paraId="00000008" w14:textId="7777777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9" w14:textId="7777777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w:t>
      </w:r>
    </w:p>
    <w:p w14:paraId="0000000A" w14:textId="7777777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14:paraId="0000000B" w14:textId="77777777"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0C" w14:textId="77777777" w:rsidR="00932F8D" w:rsidRDefault="005A002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D" w14:textId="77777777"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E" w14:textId="77777777" w:rsidR="00932F8D" w:rsidRDefault="005A0029">
      <w:pPr>
        <w:numPr>
          <w:ilvl w:val="0"/>
          <w:numId w:val="1"/>
        </w:numPr>
        <w:pBdr>
          <w:top w:val="nil"/>
          <w:left w:val="nil"/>
          <w:bottom w:val="nil"/>
          <w:right w:val="nil"/>
          <w:between w:val="nil"/>
        </w:pBdr>
        <w:tabs>
          <w:tab w:val="left" w:pos="142"/>
        </w:tabs>
        <w:spacing w:before="120" w:after="240" w:line="240" w:lineRule="auto"/>
        <w:jc w:val="both"/>
      </w:pPr>
      <w:bookmarkStart w:id="3" w:name="bookmark=id.3znysh7" w:colFirst="0" w:colLast="0"/>
      <w:bookmarkStart w:id="4" w:name="_heading=h.1fob9te" w:colFirst="0" w:colLast="0"/>
      <w:bookmarkEnd w:id="3"/>
      <w:bookmarkEnd w:id="4"/>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14:paraId="0000000F" w14:textId="6AF1BC62"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lastRenderedPageBreak/>
        <w:t>Except as expressly set out in Paragraph </w:t>
      </w:r>
      <w:r w:rsidR="00C66BF5">
        <w:rPr>
          <w:rFonts w:ascii="Arial" w:eastAsia="Arial" w:hAnsi="Arial" w:cs="Arial"/>
          <w:color w:val="000000"/>
          <w:sz w:val="24"/>
          <w:szCs w:val="24"/>
        </w:rPr>
        <w:t>5</w:t>
      </w:r>
      <w:r>
        <w:rPr>
          <w:rFonts w:ascii="Arial" w:eastAsia="Arial" w:hAnsi="Arial" w:cs="Arial"/>
          <w:color w:val="000000"/>
          <w:sz w:val="24"/>
          <w:szCs w:val="24"/>
        </w:rPr>
        <w:t xml:space="preserve"> below, or otherwise stated in a Call Off Order Form] the Framework Prices shall include all costs and expenses relating to the provision of Deliverables. No further amounts shall be payable in respect of matters such as:</w:t>
      </w:r>
    </w:p>
    <w:p w14:paraId="00000010" w14:textId="77777777" w:rsidR="00932F8D" w:rsidRDefault="005A002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1" w14:textId="77777777" w:rsidR="00932F8D" w:rsidRDefault="005A002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2" w14:textId="77777777" w:rsidR="00932F8D" w:rsidRDefault="005A002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3" w14:textId="05E80E99"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w:t>
      </w:r>
      <w:r w:rsidR="00763857">
        <w:rPr>
          <w:rFonts w:ascii="Arial" w:eastAsia="Arial" w:hAnsi="Arial" w:cs="Arial"/>
          <w:color w:val="000000"/>
          <w:sz w:val="24"/>
          <w:szCs w:val="24"/>
        </w:rPr>
        <w:t>the Framework Contract Period.  Framework Prices may only be varied in accordance with paragraph 6.</w:t>
      </w:r>
    </w:p>
    <w:p w14:paraId="00000021" w14:textId="77777777" w:rsidR="00932F8D" w:rsidRDefault="005A0029">
      <w:pPr>
        <w:numPr>
          <w:ilvl w:val="0"/>
          <w:numId w:val="1"/>
        </w:numPr>
        <w:pBdr>
          <w:top w:val="nil"/>
          <w:left w:val="nil"/>
          <w:bottom w:val="nil"/>
          <w:right w:val="nil"/>
          <w:between w:val="nil"/>
        </w:pBdr>
        <w:tabs>
          <w:tab w:val="left" w:pos="142"/>
        </w:tabs>
        <w:spacing w:before="120" w:after="240" w:line="240" w:lineRule="auto"/>
        <w:jc w:val="both"/>
      </w:pPr>
      <w:bookmarkStart w:id="5" w:name="_heading=h.2et92p0" w:colFirst="0" w:colLast="0"/>
      <w:bookmarkEnd w:id="5"/>
      <w:r>
        <w:rPr>
          <w:rFonts w:ascii="Arial" w:eastAsia="Arial" w:hAnsi="Arial" w:cs="Arial"/>
          <w:b/>
          <w:color w:val="000000"/>
          <w:sz w:val="24"/>
          <w:szCs w:val="24"/>
        </w:rPr>
        <w:t>Other events that allow the Supplier to change the Framework Prices</w:t>
      </w:r>
    </w:p>
    <w:p w14:paraId="00000022" w14:textId="77777777"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3" w14:textId="7777777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4" w14:textId="7777777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5" w14:textId="2FA37157" w:rsidR="00932F8D" w:rsidRDefault="005A002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6" w14:textId="77777777" w:rsidR="00932F8D" w:rsidRDefault="005A0029" w:rsidP="00F6349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Due to an Interchange And / </w:t>
      </w:r>
      <w:proofErr w:type="gramStart"/>
      <w:r>
        <w:rPr>
          <w:rFonts w:ascii="Arial" w:eastAsia="Arial" w:hAnsi="Arial" w:cs="Arial"/>
          <w:color w:val="000000"/>
          <w:sz w:val="24"/>
          <w:szCs w:val="24"/>
        </w:rPr>
        <w:t>Or  and</w:t>
      </w:r>
      <w:proofErr w:type="gramEnd"/>
      <w:r>
        <w:rPr>
          <w:rFonts w:ascii="Arial" w:eastAsia="Arial" w:hAnsi="Arial" w:cs="Arial"/>
          <w:color w:val="000000"/>
          <w:sz w:val="24"/>
          <w:szCs w:val="24"/>
        </w:rPr>
        <w:t xml:space="preserve"> Card Scheme Fees Change which the Parties agree means a change is required to all or part of the Framework Prices in accordance </w:t>
      </w:r>
    </w:p>
    <w:p w14:paraId="00000028" w14:textId="77777777" w:rsidR="00932F8D" w:rsidRPr="00F6349F" w:rsidRDefault="005A0029" w:rsidP="00F6349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6349F">
        <w:rPr>
          <w:rFonts w:ascii="Arial" w:eastAsia="Arial" w:hAnsi="Arial" w:cs="Arial"/>
          <w:color w:val="000000"/>
          <w:sz w:val="24"/>
          <w:szCs w:val="24"/>
        </w:rPr>
        <w:t>a request from the Supplier, which it can make at any time, to decrease the Framework Prices; and</w:t>
      </w:r>
    </w:p>
    <w:p w14:paraId="00000029" w14:textId="77777777" w:rsidR="00932F8D" w:rsidRDefault="005A002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Not Used </w:t>
      </w:r>
    </w:p>
    <w:p w14:paraId="0000002A" w14:textId="77777777" w:rsidR="00932F8D" w:rsidRDefault="005A002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you will be reimbursed for travel and subsistence]</w:t>
      </w:r>
    </w:p>
    <w:p w14:paraId="0000002B" w14:textId="22888253"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14:paraId="0000002C" w14:textId="77777777" w:rsidR="00932F8D" w:rsidRDefault="005A002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14:paraId="0000002D" w14:textId="77777777" w:rsidR="00932F8D" w:rsidRDefault="005A002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14:paraId="0000002E" w14:textId="77777777" w:rsidR="00932F8D" w:rsidRDefault="005A002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14:paraId="0000002F" w14:textId="3F68F213"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For the purposes of paragraph </w:t>
      </w:r>
      <w:r w:rsidR="00C66BF5">
        <w:rPr>
          <w:rFonts w:ascii="Arial" w:eastAsia="Arial" w:hAnsi="Arial" w:cs="Arial"/>
          <w:color w:val="000000"/>
          <w:sz w:val="24"/>
          <w:szCs w:val="24"/>
        </w:rPr>
        <w:t>8</w:t>
      </w:r>
      <w:r>
        <w:rPr>
          <w:rFonts w:ascii="Arial" w:eastAsia="Arial" w:hAnsi="Arial" w:cs="Arial"/>
          <w:color w:val="000000"/>
          <w:sz w:val="24"/>
          <w:szCs w:val="24"/>
        </w:rPr>
        <w:t>.1 of this Schedule, a “</w:t>
      </w:r>
      <w:r>
        <w:rPr>
          <w:rFonts w:ascii="Arial" w:eastAsia="Arial" w:hAnsi="Arial" w:cs="Arial"/>
          <w:b/>
          <w:color w:val="000000"/>
          <w:sz w:val="24"/>
          <w:szCs w:val="24"/>
        </w:rPr>
        <w:t>Time and Materials pricing mechanism</w:t>
      </w:r>
      <w:r>
        <w:rPr>
          <w:rFonts w:ascii="Arial" w:eastAsia="Arial" w:hAnsi="Arial" w:cs="Arial"/>
          <w:color w:val="000000"/>
          <w:sz w:val="24"/>
          <w:szCs w:val="24"/>
        </w:rPr>
        <w:t>”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this Framework Schedule 3.</w:t>
      </w:r>
    </w:p>
    <w:p w14:paraId="00000030" w14:textId="77777777"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lastRenderedPageBreak/>
        <w:t xml:space="preserve">The Buyer shall provide a copy of their current expenses policy to the Supplier upon request. </w:t>
      </w:r>
    </w:p>
    <w:p w14:paraId="00000031" w14:textId="77777777" w:rsidR="00932F8D" w:rsidRDefault="005A0029">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sz w:val="24"/>
          <w:szCs w:val="24"/>
        </w:rPr>
      </w:pPr>
      <w:r>
        <w:rPr>
          <w:rFonts w:ascii="Arial" w:eastAsia="Arial" w:hAnsi="Arial" w:cs="Arial"/>
          <w:b/>
          <w:smallCaps/>
          <w:sz w:val="24"/>
          <w:szCs w:val="24"/>
        </w:rPr>
        <w:t>INTERCHANGE AND / OR CARD SCHEME FEE CHANGES</w:t>
      </w:r>
    </w:p>
    <w:p w14:paraId="00000032" w14:textId="756ED542"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Parties acknowledge that the Supplier may be subject to changes in Interchange Fee or Card Scheme Fees during the Framework Contract Period (an “Interchange Fee And / Or Card Scheme Fees Change”).</w:t>
      </w:r>
    </w:p>
    <w:p w14:paraId="37F8390B" w14:textId="1ACC7EC5" w:rsidR="00E24B45" w:rsidRPr="00FA0737" w:rsidRDefault="00E24B45" w:rsidP="00FA0737">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sidRPr="00FA0737">
        <w:rPr>
          <w:rFonts w:ascii="Arial" w:eastAsia="Arial" w:hAnsi="Arial" w:cs="Arial"/>
          <w:color w:val="000000"/>
          <w:sz w:val="24"/>
          <w:szCs w:val="24"/>
        </w:rPr>
        <w:t>the Supplier shall pass Scheme fees and Interchange fees at cost i.e. with no Supplier mark up.</w:t>
      </w:r>
    </w:p>
    <w:p w14:paraId="322818E5" w14:textId="77777777" w:rsidR="00E24B45" w:rsidRDefault="00E24B45" w:rsidP="00FA0737">
      <w:pPr>
        <w:pStyle w:val="GPSL3numberedclause"/>
        <w:numPr>
          <w:ilvl w:val="0"/>
          <w:numId w:val="0"/>
        </w:numPr>
        <w:ind w:left="990"/>
        <w:rPr>
          <w:rFonts w:eastAsia="Arial"/>
        </w:rPr>
      </w:pPr>
    </w:p>
    <w:p w14:paraId="00000033" w14:textId="2C3FEFD9"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shall not be entitled to change the Framework Prices as the result of an Interchange Fee And / Or Card Scheme Fees Change until any such change is agreed in writing with the Authority in accordance with the process detailed in </w:t>
      </w:r>
      <w:r w:rsidR="00763857">
        <w:rPr>
          <w:rFonts w:ascii="Arial" w:eastAsia="Arial" w:hAnsi="Arial" w:cs="Arial"/>
          <w:color w:val="000000"/>
          <w:sz w:val="24"/>
          <w:szCs w:val="24"/>
        </w:rPr>
        <w:t xml:space="preserve">paragraph </w:t>
      </w:r>
      <w:r w:rsidR="00C66BF5">
        <w:rPr>
          <w:rFonts w:ascii="Arial" w:eastAsia="Arial" w:hAnsi="Arial" w:cs="Arial"/>
          <w:color w:val="000000"/>
          <w:sz w:val="24"/>
          <w:szCs w:val="24"/>
        </w:rPr>
        <w:t>9</w:t>
      </w:r>
      <w:r>
        <w:rPr>
          <w:rFonts w:ascii="Arial" w:eastAsia="Arial" w:hAnsi="Arial" w:cs="Arial"/>
          <w:color w:val="000000"/>
          <w:sz w:val="24"/>
          <w:szCs w:val="24"/>
        </w:rPr>
        <w:t xml:space="preserve">.3 and </w:t>
      </w:r>
      <w:r w:rsidR="00C66BF5">
        <w:rPr>
          <w:rFonts w:ascii="Arial" w:eastAsia="Arial" w:hAnsi="Arial" w:cs="Arial"/>
          <w:color w:val="000000"/>
          <w:sz w:val="24"/>
          <w:szCs w:val="24"/>
        </w:rPr>
        <w:t>9</w:t>
      </w:r>
      <w:r>
        <w:rPr>
          <w:rFonts w:ascii="Arial" w:eastAsia="Arial" w:hAnsi="Arial" w:cs="Arial"/>
          <w:color w:val="000000"/>
          <w:sz w:val="24"/>
          <w:szCs w:val="24"/>
        </w:rPr>
        <w:t>.4 of this Schedule.</w:t>
      </w:r>
    </w:p>
    <w:p w14:paraId="00000034" w14:textId="77777777"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 xml:space="preserve">If an Interchange Fee And / Or Card Scheme Fees Change occurs or will occur during the </w:t>
      </w:r>
      <w:proofErr w:type="gramStart"/>
      <w:r>
        <w:rPr>
          <w:rFonts w:ascii="Arial" w:eastAsia="Arial" w:hAnsi="Arial" w:cs="Arial"/>
          <w:color w:val="000000"/>
          <w:sz w:val="24"/>
          <w:szCs w:val="24"/>
        </w:rPr>
        <w:t>Framework  Period</w:t>
      </w:r>
      <w:proofErr w:type="gramEnd"/>
      <w:r>
        <w:rPr>
          <w:rFonts w:ascii="Arial" w:eastAsia="Arial" w:hAnsi="Arial" w:cs="Arial"/>
          <w:color w:val="000000"/>
          <w:sz w:val="24"/>
          <w:szCs w:val="24"/>
        </w:rPr>
        <w:t>, the Supplier shall, in writing:</w:t>
      </w:r>
    </w:p>
    <w:p w14:paraId="00000035" w14:textId="77777777" w:rsidR="00932F8D" w:rsidRDefault="005A0029">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notify the Authority within 21 days of being informed of such a change along with a copy of any relevant information; and</w:t>
      </w:r>
    </w:p>
    <w:p w14:paraId="00000036" w14:textId="77777777" w:rsidR="00932F8D" w:rsidRDefault="005A0029">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soon as reasonably practicable, inform the Authority of the likely effects of such a change to the Framework Prices or this Framework Agreement, including whether such a change may require a Variation once agreed with the Authority; and</w:t>
      </w:r>
    </w:p>
    <w:p w14:paraId="00000037" w14:textId="77777777" w:rsidR="00932F8D" w:rsidRDefault="005A0029">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provide the Authority with further written evidence: </w:t>
      </w:r>
    </w:p>
    <w:p w14:paraId="00000038" w14:textId="77777777" w:rsidR="00932F8D" w:rsidRDefault="005A0029">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that the Supplier shall minimise any increase in costs or maximise any reduction in costs, including in respect of the costs of its Sub-Contractors, resulting from the Interchange Fee And / Or Card Scheme Fees Change;</w:t>
      </w:r>
    </w:p>
    <w:p w14:paraId="00000039" w14:textId="77777777" w:rsidR="00932F8D" w:rsidRDefault="005A0029">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detailing the effect of the Interchange Fee And / Or Card Scheme Fees Change on the overall cost of providing the Services; and</w:t>
      </w:r>
      <w:r>
        <w:rPr>
          <w:rFonts w:ascii="Arial" w:eastAsia="Arial" w:hAnsi="Arial" w:cs="Arial"/>
          <w:sz w:val="24"/>
          <w:szCs w:val="24"/>
        </w:rPr>
        <w:t xml:space="preserve"> </w:t>
      </w:r>
    </w:p>
    <w:p w14:paraId="0000003A" w14:textId="77777777" w:rsidR="00932F8D" w:rsidRDefault="005A0029">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demonstrating that any expenditure that has been avoided, for example which would have been required under the provisions of Call Off Schedule 3 (Continuous Improvement) and Call Off Schedule 16 (Benchmarking), has been </w:t>
      </w:r>
      <w:proofErr w:type="gramStart"/>
      <w:r>
        <w:rPr>
          <w:rFonts w:ascii="Arial" w:eastAsia="Arial" w:hAnsi="Arial" w:cs="Arial"/>
          <w:color w:val="000000"/>
          <w:sz w:val="24"/>
          <w:szCs w:val="24"/>
        </w:rPr>
        <w:t>taken into account</w:t>
      </w:r>
      <w:proofErr w:type="gramEnd"/>
      <w:r>
        <w:rPr>
          <w:rFonts w:ascii="Arial" w:eastAsia="Arial" w:hAnsi="Arial" w:cs="Arial"/>
          <w:color w:val="000000"/>
          <w:sz w:val="24"/>
          <w:szCs w:val="24"/>
        </w:rPr>
        <w:t xml:space="preserve"> in amending the Framework Prices. </w:t>
      </w:r>
    </w:p>
    <w:p w14:paraId="0000003B" w14:textId="77777777" w:rsidR="00932F8D"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agree that any change in the Framework Prices shall be implemented in accordance with Clause 24 (Changing the contract).</w:t>
      </w:r>
    </w:p>
    <w:p w14:paraId="0000003C" w14:textId="77777777" w:rsidR="00932F8D" w:rsidRPr="00AE7B48" w:rsidRDefault="005A0029">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smallCaps/>
          <w:color w:val="000000"/>
          <w:sz w:val="24"/>
          <w:szCs w:val="24"/>
        </w:rPr>
      </w:pPr>
      <w:r w:rsidRPr="00AE7B48">
        <w:rPr>
          <w:rFonts w:ascii="Arial" w:eastAsia="Arial" w:hAnsi="Arial" w:cs="Arial"/>
          <w:b/>
          <w:smallCaps/>
          <w:sz w:val="24"/>
          <w:szCs w:val="24"/>
        </w:rPr>
        <w:t>PRICING CONDITIONS</w:t>
      </w:r>
    </w:p>
    <w:p w14:paraId="0000003D" w14:textId="77777777" w:rsidR="00932F8D" w:rsidRPr="00AE7B48"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sidRPr="00AE7B48">
        <w:rPr>
          <w:rFonts w:ascii="Arial" w:eastAsia="Arial" w:hAnsi="Arial" w:cs="Arial"/>
          <w:color w:val="000000"/>
          <w:sz w:val="24"/>
          <w:szCs w:val="24"/>
        </w:rPr>
        <w:lastRenderedPageBreak/>
        <w:t>The Charges for the services delivered by the Supplier through lots 1 and 2 of the Call-Off Contract must be on an Interchange ++ basis, unless agreed in writing by the Buyer as part of their Call-Off Contract. The Charges will be based on Table 2 of Annex 1 to this Framework Schedule 3 (Prices).</w:t>
      </w:r>
    </w:p>
    <w:p w14:paraId="00000040" w14:textId="77777777" w:rsidR="00932F8D" w:rsidRPr="00AE7B48" w:rsidRDefault="005A0029">
      <w:pPr>
        <w:numPr>
          <w:ilvl w:val="0"/>
          <w:numId w:val="1"/>
        </w:numPr>
        <w:pBdr>
          <w:top w:val="nil"/>
          <w:left w:val="nil"/>
          <w:bottom w:val="nil"/>
          <w:right w:val="nil"/>
          <w:between w:val="nil"/>
        </w:pBdr>
        <w:tabs>
          <w:tab w:val="left" w:pos="0"/>
        </w:tabs>
        <w:spacing w:before="240" w:after="240" w:line="240" w:lineRule="auto"/>
        <w:jc w:val="both"/>
        <w:rPr>
          <w:rFonts w:ascii="Arial Bold" w:eastAsia="Arial Bold" w:hAnsi="Arial Bold" w:cs="Arial Bold"/>
          <w:b/>
          <w:smallCaps/>
          <w:color w:val="000000"/>
        </w:rPr>
      </w:pPr>
      <w:r w:rsidRPr="00AE7B48">
        <w:rPr>
          <w:rFonts w:ascii="Arial Bold" w:eastAsia="Arial Bold" w:hAnsi="Arial Bold" w:cs="Arial Bold"/>
          <w:b/>
          <w:smallCaps/>
          <w:color w:val="000000"/>
        </w:rPr>
        <w:t xml:space="preserve">CALCULATING THE </w:t>
      </w:r>
      <w:r w:rsidRPr="00AE7B48">
        <w:rPr>
          <w:rFonts w:ascii="Arial Bold" w:eastAsia="Arial Bold" w:hAnsi="Arial Bold" w:cs="Arial Bold"/>
          <w:b/>
          <w:smallCaps/>
        </w:rPr>
        <w:t>C</w:t>
      </w:r>
      <w:r w:rsidRPr="00AE7B48">
        <w:rPr>
          <w:rFonts w:ascii="Arial Bold" w:eastAsia="Arial Bold" w:hAnsi="Arial Bold" w:cs="Arial Bold"/>
          <w:b/>
          <w:smallCaps/>
          <w:color w:val="000000"/>
        </w:rPr>
        <w:t>HARGES</w:t>
      </w:r>
    </w:p>
    <w:p w14:paraId="00000041" w14:textId="77777777" w:rsidR="00932F8D" w:rsidRPr="00FA0737"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sidRPr="00FA0737">
        <w:rPr>
          <w:rFonts w:ascii="Arial" w:eastAsia="Arial" w:hAnsi="Arial" w:cs="Arial"/>
          <w:color w:val="000000"/>
          <w:sz w:val="24"/>
          <w:szCs w:val="24"/>
        </w:rPr>
        <w:t>The Charges shall be calculated by using the appropriate tables as set out within Annex 1 to this Framework Schedule 3, unless the Buyer has agreed otherwise in writing as part of their Call-Off Contract.</w:t>
      </w:r>
    </w:p>
    <w:p w14:paraId="00000042" w14:textId="77777777" w:rsidR="00932F8D" w:rsidRPr="00FA0737"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sidRPr="00FA0737">
        <w:rPr>
          <w:rFonts w:ascii="Arial" w:eastAsia="Arial" w:hAnsi="Arial" w:cs="Arial"/>
          <w:color w:val="000000"/>
          <w:sz w:val="24"/>
          <w:szCs w:val="24"/>
        </w:rPr>
        <w:t>Unless agreed in writing with the Buyer as part of their Call-Off Contract. The Charges shall be calculated by the Supplier at the end of each calendar month and invoiced 1 month in arrears</w:t>
      </w:r>
    </w:p>
    <w:p w14:paraId="00000044" w14:textId="77777777" w:rsidR="00932F8D" w:rsidRPr="00AE7B48" w:rsidRDefault="005A0029" w:rsidP="00AE7B48">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sidRPr="00FA0737">
        <w:rPr>
          <w:rFonts w:ascii="Arial" w:eastAsia="Arial" w:hAnsi="Arial" w:cs="Arial"/>
          <w:color w:val="000000"/>
          <w:sz w:val="24"/>
          <w:szCs w:val="24"/>
        </w:rPr>
        <w:t>For lots 1 and 2, the Calculation of the Charges shall be based on the Volume of, and when applicable the Volume driven fees threshold, that the Buyer has reached at the time the Charges are calculated</w:t>
      </w:r>
    </w:p>
    <w:p w14:paraId="00000045" w14:textId="77777777" w:rsidR="00932F8D" w:rsidRPr="00AE7B48" w:rsidRDefault="005A0029" w:rsidP="00AE7B48">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sidRPr="00AE7B48">
        <w:rPr>
          <w:rFonts w:ascii="Arial" w:eastAsia="Arial" w:hAnsi="Arial" w:cs="Arial"/>
          <w:color w:val="000000"/>
          <w:sz w:val="24"/>
          <w:szCs w:val="24"/>
        </w:rPr>
        <w:t xml:space="preserve">The Volume Threshold shall be determined by the cumulative total (the sum of all transactions occurring between the commencement of the Call-Off Contract and the date of calculation) volume of transactions through the Buyer’s Call-Off Contract at the time the Charges are calculated. </w:t>
      </w:r>
    </w:p>
    <w:p w14:paraId="5BD11632" w14:textId="77777777" w:rsidR="00787B35" w:rsidRPr="00AE7B48" w:rsidRDefault="005A0029" w:rsidP="00AE7B48">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AE7B48">
        <w:rPr>
          <w:rFonts w:ascii="Arial" w:eastAsia="Arial" w:hAnsi="Arial" w:cs="Arial"/>
          <w:color w:val="000000"/>
          <w:sz w:val="24"/>
          <w:szCs w:val="24"/>
        </w:rPr>
        <w:t>The intent of the volume threshold mechanism is that Buyers will pay less as their transaction volumes i</w:t>
      </w:r>
      <w:sdt>
        <w:sdtPr>
          <w:rPr>
            <w:rFonts w:ascii="Arial" w:eastAsia="Arial" w:hAnsi="Arial" w:cs="Arial"/>
            <w:color w:val="000000"/>
            <w:sz w:val="24"/>
            <w:szCs w:val="24"/>
          </w:rPr>
          <w:tag w:val="goog_rdk_0"/>
          <w:id w:val="1596289801"/>
        </w:sdtPr>
        <w:sdtEndPr/>
        <w:sdtContent/>
      </w:sdt>
      <w:sdt>
        <w:sdtPr>
          <w:rPr>
            <w:rFonts w:ascii="Arial" w:eastAsia="Arial" w:hAnsi="Arial" w:cs="Arial"/>
            <w:color w:val="000000"/>
            <w:sz w:val="24"/>
            <w:szCs w:val="24"/>
          </w:rPr>
          <w:tag w:val="goog_rdk_1"/>
          <w:id w:val="-1979053132"/>
        </w:sdtPr>
        <w:sdtEndPr/>
        <w:sdtContent/>
      </w:sdt>
      <w:r w:rsidRPr="00AE7B48">
        <w:rPr>
          <w:rFonts w:ascii="Arial" w:eastAsia="Arial" w:hAnsi="Arial" w:cs="Arial"/>
          <w:color w:val="000000"/>
          <w:sz w:val="24"/>
          <w:szCs w:val="24"/>
        </w:rPr>
        <w:t>ncrease.</w:t>
      </w:r>
    </w:p>
    <w:p w14:paraId="00000046" w14:textId="7FED03F0" w:rsidR="00932F8D" w:rsidRPr="00AE7B48" w:rsidRDefault="00787B35" w:rsidP="00AE7B48">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AE7B48">
        <w:rPr>
          <w:rFonts w:ascii="Arial" w:eastAsia="Arial" w:hAnsi="Arial" w:cs="Arial"/>
          <w:color w:val="000000"/>
          <w:sz w:val="24"/>
          <w:szCs w:val="24"/>
        </w:rPr>
        <w:t xml:space="preserve">Suppliers will be required to report Volume Thresholds as part of the Self Audit Certificate procedure as set out in Framework Schedule 8 </w:t>
      </w:r>
    </w:p>
    <w:p w14:paraId="64874FCF" w14:textId="77777777" w:rsidR="00AE7B48" w:rsidRDefault="00AE7B48">
      <w:pPr>
        <w:rPr>
          <w:rFonts w:ascii="Arial" w:eastAsia="Arial" w:hAnsi="Arial" w:cs="Arial"/>
          <w:b/>
          <w:sz w:val="36"/>
          <w:szCs w:val="36"/>
        </w:rPr>
      </w:pPr>
      <w:bookmarkStart w:id="10" w:name="_heading=h.17dp8vu" w:colFirst="0" w:colLast="0"/>
      <w:bookmarkStart w:id="11" w:name="_heading=h.1t3h5sf" w:colFirst="0" w:colLast="0"/>
      <w:bookmarkEnd w:id="10"/>
      <w:bookmarkEnd w:id="11"/>
    </w:p>
    <w:p w14:paraId="44FB3506" w14:textId="77777777" w:rsidR="00AE7B48" w:rsidRDefault="00AE7B48">
      <w:pPr>
        <w:rPr>
          <w:rFonts w:ascii="Arial" w:eastAsia="Arial" w:hAnsi="Arial" w:cs="Arial"/>
          <w:b/>
          <w:sz w:val="36"/>
          <w:szCs w:val="36"/>
        </w:rPr>
      </w:pPr>
    </w:p>
    <w:p w14:paraId="00309597" w14:textId="77777777" w:rsidR="00AE7B48" w:rsidRDefault="00AE7B48">
      <w:pPr>
        <w:rPr>
          <w:rFonts w:ascii="Arial" w:eastAsia="Arial" w:hAnsi="Arial" w:cs="Arial"/>
          <w:b/>
          <w:sz w:val="36"/>
          <w:szCs w:val="36"/>
        </w:rPr>
        <w:sectPr w:rsidR="00AE7B48" w:rsidSect="00787B35">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docGrid w:linePitch="299"/>
        </w:sectPr>
      </w:pPr>
    </w:p>
    <w:p w14:paraId="00000048" w14:textId="46AD44AE" w:rsidR="00932F8D" w:rsidRDefault="005A0029">
      <w:pPr>
        <w:rPr>
          <w:rFonts w:ascii="Arial" w:eastAsia="Arial" w:hAnsi="Arial" w:cs="Arial"/>
          <w:b/>
          <w:sz w:val="36"/>
          <w:szCs w:val="36"/>
        </w:rPr>
      </w:pPr>
      <w:r>
        <w:rPr>
          <w:rFonts w:ascii="Arial" w:eastAsia="Arial" w:hAnsi="Arial" w:cs="Arial"/>
          <w:b/>
          <w:sz w:val="36"/>
          <w:szCs w:val="36"/>
        </w:rPr>
        <w:lastRenderedPageBreak/>
        <w:t>Annex 1: Rates and Prices</w:t>
      </w:r>
    </w:p>
    <w:p w14:paraId="00000049" w14:textId="77777777" w:rsidR="00932F8D" w:rsidRDefault="005A002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14:paraId="0000004A" w14:textId="77777777" w:rsidR="00932F8D" w:rsidRDefault="005A0029">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14:paraId="0000004C" w14:textId="52DD80DD" w:rsidR="00932F8D" w:rsidRDefault="005A0029">
      <w:pPr>
        <w:pBdr>
          <w:top w:val="nil"/>
          <w:left w:val="nil"/>
          <w:bottom w:val="nil"/>
          <w:right w:val="nil"/>
          <w:between w:val="nil"/>
        </w:pBdr>
        <w:spacing w:before="240" w:after="120" w:line="240" w:lineRule="auto"/>
        <w:rPr>
          <w:rFonts w:ascii="Arial" w:eastAsia="Arial" w:hAnsi="Arial" w:cs="Arial"/>
          <w:i/>
          <w:color w:val="000000"/>
          <w:sz w:val="24"/>
          <w:szCs w:val="24"/>
        </w:rPr>
      </w:pPr>
      <w:r>
        <w:rPr>
          <w:rFonts w:ascii="Arial" w:eastAsia="Arial" w:hAnsi="Arial" w:cs="Arial"/>
          <w:i/>
          <w:color w:val="000000"/>
          <w:sz w:val="24"/>
          <w:szCs w:val="24"/>
        </w:rPr>
        <w:t>The rates below shall [not] be subject to variation by way of Indexation</w:t>
      </w:r>
    </w:p>
    <w:tbl>
      <w:tblPr>
        <w:tblStyle w:val="a2"/>
        <w:tblW w:w="1417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919"/>
        <w:gridCol w:w="1926"/>
        <w:gridCol w:w="2260"/>
        <w:gridCol w:w="2140"/>
        <w:gridCol w:w="2140"/>
        <w:gridCol w:w="1943"/>
        <w:gridCol w:w="1842"/>
      </w:tblGrid>
      <w:tr w:rsidR="00932F8D" w14:paraId="1234D310" w14:textId="77777777">
        <w:tc>
          <w:tcPr>
            <w:tcW w:w="1919" w:type="dxa"/>
            <w:shd w:val="clear" w:color="auto" w:fill="E7E6E6"/>
          </w:tcPr>
          <w:p w14:paraId="0000004D"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Seniority</w:t>
            </w:r>
          </w:p>
        </w:tc>
        <w:tc>
          <w:tcPr>
            <w:tcW w:w="1926" w:type="dxa"/>
            <w:shd w:val="clear" w:color="auto" w:fill="E7E6E6"/>
          </w:tcPr>
          <w:p w14:paraId="0000004E"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 xml:space="preserve">Partner / </w:t>
            </w:r>
            <w:r>
              <w:rPr>
                <w:rFonts w:ascii="Arial" w:eastAsia="Arial" w:hAnsi="Arial" w:cs="Arial"/>
                <w:b/>
                <w:sz w:val="20"/>
                <w:szCs w:val="20"/>
                <w:highlight w:val="yellow"/>
              </w:rPr>
              <w:br/>
              <w:t>Managing Director</w:t>
            </w:r>
          </w:p>
        </w:tc>
        <w:tc>
          <w:tcPr>
            <w:tcW w:w="2260" w:type="dxa"/>
            <w:shd w:val="clear" w:color="auto" w:fill="E7E6E6"/>
          </w:tcPr>
          <w:p w14:paraId="0000004F"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 xml:space="preserve">Managing Consultant / </w:t>
            </w:r>
            <w:r>
              <w:rPr>
                <w:rFonts w:ascii="Arial" w:eastAsia="Arial" w:hAnsi="Arial" w:cs="Arial"/>
                <w:b/>
                <w:sz w:val="20"/>
                <w:szCs w:val="20"/>
                <w:highlight w:val="yellow"/>
              </w:rPr>
              <w:br/>
              <w:t xml:space="preserve">Associate Director / </w:t>
            </w:r>
            <w:r>
              <w:rPr>
                <w:rFonts w:ascii="Arial" w:eastAsia="Arial" w:hAnsi="Arial" w:cs="Arial"/>
                <w:b/>
                <w:sz w:val="20"/>
                <w:szCs w:val="20"/>
                <w:highlight w:val="yellow"/>
              </w:rPr>
              <w:br/>
              <w:t>Director</w:t>
            </w:r>
          </w:p>
        </w:tc>
        <w:tc>
          <w:tcPr>
            <w:tcW w:w="2140" w:type="dxa"/>
            <w:shd w:val="clear" w:color="auto" w:fill="E7E6E6"/>
          </w:tcPr>
          <w:p w14:paraId="00000050"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Principal</w:t>
            </w:r>
            <w:r>
              <w:rPr>
                <w:rFonts w:ascii="Arial" w:eastAsia="Arial" w:hAnsi="Arial" w:cs="Arial"/>
                <w:b/>
                <w:sz w:val="20"/>
                <w:szCs w:val="20"/>
                <w:highlight w:val="yellow"/>
              </w:rPr>
              <w:br/>
              <w:t>Consultant</w:t>
            </w:r>
          </w:p>
        </w:tc>
        <w:tc>
          <w:tcPr>
            <w:tcW w:w="2140" w:type="dxa"/>
            <w:shd w:val="clear" w:color="auto" w:fill="E7E6E6"/>
          </w:tcPr>
          <w:p w14:paraId="00000051"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Senior Consultant /</w:t>
            </w:r>
            <w:r>
              <w:rPr>
                <w:rFonts w:ascii="Arial" w:eastAsia="Arial" w:hAnsi="Arial" w:cs="Arial"/>
                <w:b/>
                <w:sz w:val="20"/>
                <w:szCs w:val="20"/>
                <w:highlight w:val="yellow"/>
              </w:rPr>
              <w:br/>
              <w:t>Manager</w:t>
            </w:r>
          </w:p>
        </w:tc>
        <w:tc>
          <w:tcPr>
            <w:tcW w:w="1943" w:type="dxa"/>
            <w:shd w:val="clear" w:color="auto" w:fill="E7E6E6"/>
          </w:tcPr>
          <w:p w14:paraId="00000052"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Consultant / Senior Analyst</w:t>
            </w:r>
          </w:p>
        </w:tc>
        <w:tc>
          <w:tcPr>
            <w:tcW w:w="1842" w:type="dxa"/>
            <w:shd w:val="clear" w:color="auto" w:fill="E7E6E6"/>
          </w:tcPr>
          <w:p w14:paraId="00000053"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Junior Consultant / Analyst</w:t>
            </w:r>
          </w:p>
        </w:tc>
      </w:tr>
      <w:tr w:rsidR="00932F8D" w14:paraId="0F91C264" w14:textId="77777777">
        <w:tc>
          <w:tcPr>
            <w:tcW w:w="1919" w:type="dxa"/>
            <w:shd w:val="clear" w:color="auto" w:fill="E7E6E6"/>
          </w:tcPr>
          <w:p w14:paraId="00000054"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 xml:space="preserve">Charge per hour to the nearest hour, to the </w:t>
            </w:r>
            <w:proofErr w:type="gramStart"/>
            <w:r>
              <w:rPr>
                <w:rFonts w:ascii="Arial" w:eastAsia="Arial" w:hAnsi="Arial" w:cs="Arial"/>
                <w:b/>
                <w:sz w:val="20"/>
                <w:szCs w:val="20"/>
                <w:highlight w:val="yellow"/>
              </w:rPr>
              <w:t>nearest  £</w:t>
            </w:r>
            <w:proofErr w:type="gramEnd"/>
            <w:r>
              <w:rPr>
                <w:rFonts w:ascii="Arial" w:eastAsia="Arial" w:hAnsi="Arial" w:cs="Arial"/>
                <w:b/>
                <w:sz w:val="20"/>
                <w:szCs w:val="20"/>
                <w:highlight w:val="yellow"/>
              </w:rPr>
              <w:t>1</w:t>
            </w:r>
          </w:p>
        </w:tc>
        <w:tc>
          <w:tcPr>
            <w:tcW w:w="1926" w:type="dxa"/>
          </w:tcPr>
          <w:p w14:paraId="00000055"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w:t>
            </w:r>
          </w:p>
        </w:tc>
        <w:tc>
          <w:tcPr>
            <w:tcW w:w="2260" w:type="dxa"/>
          </w:tcPr>
          <w:p w14:paraId="00000056"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w:t>
            </w:r>
          </w:p>
        </w:tc>
        <w:tc>
          <w:tcPr>
            <w:tcW w:w="2140" w:type="dxa"/>
          </w:tcPr>
          <w:p w14:paraId="00000057"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w:t>
            </w:r>
          </w:p>
        </w:tc>
        <w:tc>
          <w:tcPr>
            <w:tcW w:w="2140" w:type="dxa"/>
          </w:tcPr>
          <w:p w14:paraId="00000058"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w:t>
            </w:r>
          </w:p>
        </w:tc>
        <w:tc>
          <w:tcPr>
            <w:tcW w:w="1943" w:type="dxa"/>
          </w:tcPr>
          <w:p w14:paraId="00000059"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w:t>
            </w:r>
          </w:p>
        </w:tc>
        <w:tc>
          <w:tcPr>
            <w:tcW w:w="1842" w:type="dxa"/>
          </w:tcPr>
          <w:p w14:paraId="0000005A"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w:t>
            </w:r>
          </w:p>
        </w:tc>
      </w:tr>
      <w:tr w:rsidR="00932F8D" w14:paraId="65DB24EE" w14:textId="77777777">
        <w:tc>
          <w:tcPr>
            <w:tcW w:w="1919" w:type="dxa"/>
            <w:shd w:val="clear" w:color="auto" w:fill="E7E6E6"/>
          </w:tcPr>
          <w:p w14:paraId="0000005B" w14:textId="77777777" w:rsidR="00932F8D" w:rsidRDefault="005A0029">
            <w:pPr>
              <w:spacing w:before="240"/>
              <w:jc w:val="both"/>
              <w:rPr>
                <w:rFonts w:ascii="Arial" w:eastAsia="Arial" w:hAnsi="Arial" w:cs="Arial"/>
                <w:b/>
                <w:sz w:val="20"/>
                <w:szCs w:val="20"/>
                <w:highlight w:val="yellow"/>
              </w:rPr>
            </w:pPr>
            <w:r>
              <w:rPr>
                <w:rFonts w:ascii="Arial" w:eastAsia="Arial" w:hAnsi="Arial" w:cs="Arial"/>
                <w:color w:val="000000"/>
                <w:sz w:val="20"/>
                <w:szCs w:val="20"/>
                <w:highlight w:val="yellow"/>
              </w:rPr>
              <w:t>Summary descriptions of each Level - actual descriptions will be Approved by the Buyer within their Call-Off Contract as they will be specific to the Buyer's Deliverables</w:t>
            </w:r>
          </w:p>
        </w:tc>
        <w:tc>
          <w:tcPr>
            <w:tcW w:w="1926" w:type="dxa"/>
          </w:tcPr>
          <w:p w14:paraId="0000005C" w14:textId="77777777" w:rsidR="00932F8D" w:rsidRDefault="005A0029">
            <w:pPr>
              <w:spacing w:before="240"/>
              <w:jc w:val="both"/>
              <w:rPr>
                <w:rFonts w:ascii="Arial" w:eastAsia="Arial" w:hAnsi="Arial" w:cs="Arial"/>
                <w:sz w:val="20"/>
                <w:szCs w:val="20"/>
                <w:highlight w:val="yellow"/>
              </w:rPr>
            </w:pPr>
            <w:r>
              <w:rPr>
                <w:rFonts w:ascii="Arial" w:eastAsia="Arial" w:hAnsi="Arial" w:cs="Arial"/>
                <w:color w:val="000000"/>
                <w:sz w:val="20"/>
                <w:szCs w:val="20"/>
                <w:highlight w:val="yellow"/>
              </w:rPr>
              <w:t>Is responsible for the operation of the entire consultancy practise, and Buyer engagement if required with the Buyer's staff at Director level or above if required by the Buyer</w:t>
            </w:r>
          </w:p>
        </w:tc>
        <w:tc>
          <w:tcPr>
            <w:tcW w:w="2260" w:type="dxa"/>
          </w:tcPr>
          <w:p w14:paraId="0000005D" w14:textId="77777777" w:rsidR="00932F8D" w:rsidRDefault="005A0029">
            <w:pPr>
              <w:spacing w:before="240"/>
              <w:jc w:val="both"/>
              <w:rPr>
                <w:rFonts w:ascii="Arial" w:eastAsia="Arial" w:hAnsi="Arial" w:cs="Arial"/>
                <w:sz w:val="20"/>
                <w:szCs w:val="20"/>
                <w:highlight w:val="yellow"/>
              </w:rPr>
            </w:pPr>
            <w:r>
              <w:rPr>
                <w:rFonts w:ascii="Arial" w:eastAsia="Arial" w:hAnsi="Arial" w:cs="Arial"/>
                <w:color w:val="000000"/>
                <w:sz w:val="20"/>
                <w:szCs w:val="20"/>
                <w:highlight w:val="yellow"/>
              </w:rPr>
              <w:t xml:space="preserve">Takes responsibility for a significant consultancy practice, including practice development, proposals/sales to internal or external Buyers, account management and managing the delivery of consultancy </w:t>
            </w:r>
            <w:r>
              <w:rPr>
                <w:rFonts w:ascii="Arial" w:eastAsia="Arial" w:hAnsi="Arial" w:cs="Arial"/>
                <w:color w:val="000000"/>
                <w:sz w:val="20"/>
                <w:szCs w:val="20"/>
                <w:highlight w:val="yellow"/>
              </w:rPr>
              <w:lastRenderedPageBreak/>
              <w:t>services over a wide range of topics</w:t>
            </w:r>
          </w:p>
        </w:tc>
        <w:tc>
          <w:tcPr>
            <w:tcW w:w="2140" w:type="dxa"/>
          </w:tcPr>
          <w:p w14:paraId="0000005E" w14:textId="77777777" w:rsidR="00932F8D" w:rsidRDefault="005A0029">
            <w:pPr>
              <w:spacing w:before="240"/>
              <w:jc w:val="both"/>
              <w:rPr>
                <w:rFonts w:ascii="Arial" w:eastAsia="Arial" w:hAnsi="Arial" w:cs="Arial"/>
                <w:sz w:val="20"/>
                <w:szCs w:val="20"/>
                <w:highlight w:val="yellow"/>
              </w:rPr>
            </w:pPr>
            <w:r>
              <w:rPr>
                <w:rFonts w:ascii="Arial" w:eastAsia="Arial" w:hAnsi="Arial" w:cs="Arial"/>
                <w:color w:val="000000"/>
                <w:sz w:val="20"/>
                <w:szCs w:val="20"/>
                <w:highlight w:val="yellow"/>
              </w:rPr>
              <w:lastRenderedPageBreak/>
              <w:t xml:space="preserve">Manages provision of consultancy services to the Buyer, and/or supervision of a team of consultants. In own areas of expertise, provides advice and guidance to consultants and/or the Buyer through involvement in the delivery of consultancy services. </w:t>
            </w:r>
            <w:r>
              <w:rPr>
                <w:rFonts w:ascii="Arial" w:eastAsia="Arial" w:hAnsi="Arial" w:cs="Arial"/>
                <w:color w:val="000000"/>
                <w:sz w:val="20"/>
                <w:szCs w:val="20"/>
                <w:highlight w:val="yellow"/>
              </w:rPr>
              <w:lastRenderedPageBreak/>
              <w:t>Engages with Buyers and maintains Buyer relationships. Establishes agreements/contracts and manages completion and disengagement</w:t>
            </w:r>
          </w:p>
        </w:tc>
        <w:tc>
          <w:tcPr>
            <w:tcW w:w="2140" w:type="dxa"/>
          </w:tcPr>
          <w:p w14:paraId="0000005F" w14:textId="77777777" w:rsidR="00932F8D" w:rsidRDefault="005A0029">
            <w:pPr>
              <w:spacing w:before="240"/>
              <w:jc w:val="both"/>
              <w:rPr>
                <w:rFonts w:ascii="Arial" w:eastAsia="Arial" w:hAnsi="Arial" w:cs="Arial"/>
                <w:sz w:val="20"/>
                <w:szCs w:val="20"/>
                <w:highlight w:val="yellow"/>
              </w:rPr>
            </w:pPr>
            <w:r>
              <w:rPr>
                <w:rFonts w:ascii="Arial" w:eastAsia="Arial" w:hAnsi="Arial" w:cs="Arial"/>
                <w:color w:val="000000"/>
                <w:sz w:val="20"/>
                <w:szCs w:val="20"/>
                <w:highlight w:val="yellow"/>
              </w:rPr>
              <w:lastRenderedPageBreak/>
              <w:t xml:space="preserve">Manages provision of consultancy services, and/or management of a team of consultants. In own areas of expertise, provides advice and guidance to consultants and/or the Buyer through involvement in the delivery of consultancy services. </w:t>
            </w:r>
            <w:r>
              <w:rPr>
                <w:rFonts w:ascii="Arial" w:eastAsia="Arial" w:hAnsi="Arial" w:cs="Arial"/>
                <w:color w:val="000000"/>
                <w:sz w:val="20"/>
                <w:szCs w:val="20"/>
                <w:highlight w:val="yellow"/>
              </w:rPr>
              <w:lastRenderedPageBreak/>
              <w:t>Engages with Buyers and maintains Buyer relationships. Establishes agreements/contracts and manages completion and disengagement</w:t>
            </w:r>
          </w:p>
        </w:tc>
        <w:tc>
          <w:tcPr>
            <w:tcW w:w="1943" w:type="dxa"/>
          </w:tcPr>
          <w:p w14:paraId="00000060" w14:textId="77777777" w:rsidR="00932F8D" w:rsidRDefault="005A0029">
            <w:pPr>
              <w:spacing w:before="240"/>
              <w:jc w:val="both"/>
              <w:rPr>
                <w:rFonts w:ascii="Arial" w:eastAsia="Arial" w:hAnsi="Arial" w:cs="Arial"/>
                <w:sz w:val="20"/>
                <w:szCs w:val="20"/>
                <w:highlight w:val="yellow"/>
              </w:rPr>
            </w:pPr>
            <w:r>
              <w:rPr>
                <w:rFonts w:ascii="Arial" w:eastAsia="Arial" w:hAnsi="Arial" w:cs="Arial"/>
                <w:color w:val="000000"/>
                <w:sz w:val="20"/>
                <w:szCs w:val="20"/>
                <w:highlight w:val="yellow"/>
              </w:rPr>
              <w:lastRenderedPageBreak/>
              <w:t xml:space="preserve">Provides consultancy services, and/or supervision of a team of consultants. In own areas of expertise, provides advice and guidance to consultants and/or the Buyer through involvement in the delivery of </w:t>
            </w:r>
            <w:r>
              <w:rPr>
                <w:rFonts w:ascii="Arial" w:eastAsia="Arial" w:hAnsi="Arial" w:cs="Arial"/>
                <w:color w:val="000000"/>
                <w:sz w:val="20"/>
                <w:szCs w:val="20"/>
                <w:highlight w:val="yellow"/>
              </w:rPr>
              <w:lastRenderedPageBreak/>
              <w:t>consultancy services. Engages with Buyer and maintains Buyer relationships.</w:t>
            </w:r>
          </w:p>
        </w:tc>
        <w:tc>
          <w:tcPr>
            <w:tcW w:w="1842" w:type="dxa"/>
          </w:tcPr>
          <w:p w14:paraId="00000061" w14:textId="77777777" w:rsidR="00932F8D" w:rsidRDefault="005A0029">
            <w:pPr>
              <w:spacing w:before="240"/>
              <w:jc w:val="both"/>
              <w:rPr>
                <w:rFonts w:ascii="Arial" w:eastAsia="Arial" w:hAnsi="Arial" w:cs="Arial"/>
                <w:sz w:val="20"/>
                <w:szCs w:val="20"/>
                <w:highlight w:val="yellow"/>
              </w:rPr>
            </w:pPr>
            <w:r>
              <w:rPr>
                <w:rFonts w:ascii="Arial" w:eastAsia="Arial" w:hAnsi="Arial" w:cs="Arial"/>
                <w:color w:val="000000"/>
                <w:sz w:val="20"/>
                <w:szCs w:val="20"/>
                <w:highlight w:val="yellow"/>
              </w:rPr>
              <w:lastRenderedPageBreak/>
              <w:t xml:space="preserve">Provides consultancy services, </w:t>
            </w:r>
            <w:proofErr w:type="gramStart"/>
            <w:r>
              <w:rPr>
                <w:rFonts w:ascii="Arial" w:eastAsia="Arial" w:hAnsi="Arial" w:cs="Arial"/>
                <w:color w:val="000000"/>
                <w:sz w:val="20"/>
                <w:szCs w:val="20"/>
                <w:highlight w:val="yellow"/>
              </w:rPr>
              <w:t>Under</w:t>
            </w:r>
            <w:proofErr w:type="gramEnd"/>
            <w:r>
              <w:rPr>
                <w:rFonts w:ascii="Arial" w:eastAsia="Arial" w:hAnsi="Arial" w:cs="Arial"/>
                <w:color w:val="000000"/>
                <w:sz w:val="20"/>
                <w:szCs w:val="20"/>
                <w:highlight w:val="yellow"/>
              </w:rPr>
              <w:t xml:space="preserve"> supervision, In own areas of expertise, provides advice and guidance to the Buyer through involvement in the delivery of </w:t>
            </w:r>
            <w:r>
              <w:rPr>
                <w:rFonts w:ascii="Arial" w:eastAsia="Arial" w:hAnsi="Arial" w:cs="Arial"/>
                <w:color w:val="000000"/>
                <w:sz w:val="20"/>
                <w:szCs w:val="20"/>
                <w:highlight w:val="yellow"/>
              </w:rPr>
              <w:lastRenderedPageBreak/>
              <w:t xml:space="preserve">consultancy services. </w:t>
            </w:r>
          </w:p>
        </w:tc>
      </w:tr>
      <w:tr w:rsidR="00932F8D" w14:paraId="2324BDEB" w14:textId="77777777">
        <w:tc>
          <w:tcPr>
            <w:tcW w:w="1919" w:type="dxa"/>
            <w:shd w:val="clear" w:color="auto" w:fill="E7E6E6"/>
          </w:tcPr>
          <w:p w14:paraId="00000062" w14:textId="77777777" w:rsidR="00932F8D" w:rsidRDefault="005A0029">
            <w:pPr>
              <w:spacing w:before="240"/>
              <w:jc w:val="both"/>
              <w:rPr>
                <w:rFonts w:ascii="Arial" w:eastAsia="Arial" w:hAnsi="Arial" w:cs="Arial"/>
                <w:b/>
                <w:sz w:val="20"/>
                <w:szCs w:val="20"/>
                <w:highlight w:val="yellow"/>
              </w:rPr>
            </w:pPr>
            <w:r>
              <w:rPr>
                <w:rFonts w:ascii="Arial" w:eastAsia="Arial" w:hAnsi="Arial" w:cs="Arial"/>
                <w:b/>
                <w:sz w:val="20"/>
                <w:szCs w:val="20"/>
                <w:highlight w:val="yellow"/>
              </w:rPr>
              <w:t>Guidance</w:t>
            </w:r>
          </w:p>
        </w:tc>
        <w:tc>
          <w:tcPr>
            <w:tcW w:w="1926" w:type="dxa"/>
          </w:tcPr>
          <w:p w14:paraId="00000063"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To be completed first</w:t>
            </w:r>
          </w:p>
        </w:tc>
        <w:tc>
          <w:tcPr>
            <w:tcW w:w="2260" w:type="dxa"/>
          </w:tcPr>
          <w:p w14:paraId="00000064"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No less than 50% of the immediately higher level of seniority</w:t>
            </w:r>
          </w:p>
        </w:tc>
        <w:tc>
          <w:tcPr>
            <w:tcW w:w="2140" w:type="dxa"/>
          </w:tcPr>
          <w:p w14:paraId="00000065"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No less than 50% of the immediately higher level of seniority</w:t>
            </w:r>
          </w:p>
        </w:tc>
        <w:tc>
          <w:tcPr>
            <w:tcW w:w="2140" w:type="dxa"/>
          </w:tcPr>
          <w:p w14:paraId="00000066"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No less than 50% of the immediately higher level of seniority</w:t>
            </w:r>
          </w:p>
        </w:tc>
        <w:tc>
          <w:tcPr>
            <w:tcW w:w="1943" w:type="dxa"/>
          </w:tcPr>
          <w:p w14:paraId="00000067"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No less than 50% of the immediately higher level of seniority</w:t>
            </w:r>
          </w:p>
        </w:tc>
        <w:tc>
          <w:tcPr>
            <w:tcW w:w="1842" w:type="dxa"/>
          </w:tcPr>
          <w:p w14:paraId="00000068" w14:textId="77777777" w:rsidR="00932F8D" w:rsidRDefault="005A0029">
            <w:pPr>
              <w:spacing w:before="240"/>
              <w:jc w:val="both"/>
              <w:rPr>
                <w:rFonts w:ascii="Arial" w:eastAsia="Arial" w:hAnsi="Arial" w:cs="Arial"/>
                <w:sz w:val="20"/>
                <w:szCs w:val="20"/>
                <w:highlight w:val="yellow"/>
              </w:rPr>
            </w:pPr>
            <w:r>
              <w:rPr>
                <w:rFonts w:ascii="Arial" w:eastAsia="Arial" w:hAnsi="Arial" w:cs="Arial"/>
                <w:sz w:val="20"/>
                <w:szCs w:val="20"/>
                <w:highlight w:val="yellow"/>
              </w:rPr>
              <w:t>No less than 50% of the immediately higher level of seniority</w:t>
            </w:r>
          </w:p>
        </w:tc>
      </w:tr>
    </w:tbl>
    <w:p w14:paraId="00000069" w14:textId="77777777" w:rsidR="00932F8D" w:rsidRDefault="00932F8D">
      <w:pPr>
        <w:pBdr>
          <w:top w:val="nil"/>
          <w:left w:val="nil"/>
          <w:bottom w:val="nil"/>
          <w:right w:val="nil"/>
          <w:between w:val="nil"/>
        </w:pBdr>
        <w:spacing w:before="240" w:after="120" w:line="240" w:lineRule="auto"/>
        <w:rPr>
          <w:rFonts w:ascii="Arial" w:eastAsia="Arial" w:hAnsi="Arial" w:cs="Arial"/>
          <w:i/>
          <w:color w:val="000000"/>
          <w:sz w:val="24"/>
          <w:szCs w:val="24"/>
        </w:rPr>
      </w:pPr>
    </w:p>
    <w:p w14:paraId="0000006A" w14:textId="77777777" w:rsidR="00932F8D" w:rsidRDefault="00932F8D">
      <w:pPr>
        <w:pBdr>
          <w:top w:val="nil"/>
          <w:left w:val="nil"/>
          <w:bottom w:val="nil"/>
          <w:right w:val="nil"/>
          <w:between w:val="nil"/>
        </w:pBdr>
        <w:spacing w:before="240" w:after="120" w:line="240" w:lineRule="auto"/>
        <w:rPr>
          <w:rFonts w:ascii="Arial" w:eastAsia="Arial" w:hAnsi="Arial" w:cs="Arial"/>
          <w:b/>
          <w:i/>
          <w:color w:val="000000"/>
          <w:sz w:val="24"/>
          <w:szCs w:val="24"/>
        </w:rPr>
      </w:pPr>
    </w:p>
    <w:p w14:paraId="2503A1D1" w14:textId="77777777" w:rsidR="00AE7B48" w:rsidRDefault="00AE7B48">
      <w:pPr>
        <w:keepNext/>
        <w:pBdr>
          <w:top w:val="nil"/>
          <w:left w:val="nil"/>
          <w:bottom w:val="nil"/>
          <w:right w:val="nil"/>
          <w:between w:val="nil"/>
        </w:pBdr>
        <w:spacing w:before="240" w:after="240" w:line="240" w:lineRule="auto"/>
        <w:rPr>
          <w:rFonts w:ascii="Arial" w:eastAsia="Arial" w:hAnsi="Arial" w:cs="Arial"/>
          <w:b/>
          <w:color w:val="000000"/>
          <w:sz w:val="24"/>
          <w:szCs w:val="24"/>
        </w:rPr>
        <w:sectPr w:rsidR="00AE7B48" w:rsidSect="00AE7B48">
          <w:pgSz w:w="16838" w:h="11906" w:orient="landscape"/>
          <w:pgMar w:top="1440" w:right="1888" w:bottom="1440" w:left="1440" w:header="709" w:footer="709" w:gutter="0"/>
          <w:pgNumType w:start="1"/>
          <w:cols w:space="720"/>
          <w:docGrid w:linePitch="299"/>
        </w:sectPr>
      </w:pPr>
    </w:p>
    <w:p w14:paraId="0000006B" w14:textId="742E085C" w:rsidR="00932F8D" w:rsidRDefault="005A002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Table 2: Fixed Prices</w:t>
      </w:r>
    </w:p>
    <w:p w14:paraId="0000006C" w14:textId="77777777" w:rsidR="00932F8D" w:rsidRDefault="005A0029">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3"/>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932F8D" w14:paraId="539692B9" w14:textId="77777777">
        <w:tc>
          <w:tcPr>
            <w:tcW w:w="4508" w:type="dxa"/>
            <w:shd w:val="clear" w:color="auto" w:fill="548DD4"/>
          </w:tcPr>
          <w:p w14:paraId="0000006D" w14:textId="77777777" w:rsidR="00932F8D" w:rsidRDefault="005A0029">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14:paraId="0000006E" w14:textId="77777777" w:rsidR="00932F8D" w:rsidRDefault="005A0029">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932F8D" w14:paraId="52879F71" w14:textId="77777777">
        <w:tc>
          <w:tcPr>
            <w:tcW w:w="4508" w:type="dxa"/>
          </w:tcPr>
          <w:p w14:paraId="0000006F"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14:paraId="00000070" w14:textId="77777777" w:rsidR="00932F8D" w:rsidRDefault="00932F8D">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932F8D" w14:paraId="37FCA2E5" w14:textId="77777777">
        <w:tc>
          <w:tcPr>
            <w:tcW w:w="4508" w:type="dxa"/>
          </w:tcPr>
          <w:p w14:paraId="00000071"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14:paraId="00000072" w14:textId="77777777" w:rsidR="00932F8D" w:rsidRDefault="00932F8D">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14:paraId="00000073" w14:textId="77777777" w:rsidR="00932F8D" w:rsidRDefault="00932F8D">
      <w:pPr>
        <w:rPr>
          <w:rFonts w:ascii="Arial" w:eastAsia="Arial" w:hAnsi="Arial" w:cs="Arial"/>
          <w:b/>
          <w:smallCaps/>
          <w:sz w:val="24"/>
          <w:szCs w:val="24"/>
        </w:rPr>
      </w:pPr>
      <w:bookmarkStart w:id="12" w:name="_heading=h.4d34og8" w:colFirst="0" w:colLast="0"/>
      <w:bookmarkEnd w:id="12"/>
    </w:p>
    <w:p w14:paraId="00000074" w14:textId="77777777" w:rsidR="00932F8D" w:rsidRDefault="005A002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14:paraId="00000075" w14:textId="05BB1E25" w:rsidR="00932F8D" w:rsidRDefault="005A0029">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4"/>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932F8D" w14:paraId="7201F3CB" w14:textId="77777777">
        <w:tc>
          <w:tcPr>
            <w:tcW w:w="2254" w:type="dxa"/>
            <w:shd w:val="clear" w:color="auto" w:fill="548DD4"/>
          </w:tcPr>
          <w:p w14:paraId="00000076" w14:textId="77777777" w:rsidR="00932F8D" w:rsidRDefault="005A0029">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 Number</w:t>
            </w:r>
          </w:p>
        </w:tc>
        <w:tc>
          <w:tcPr>
            <w:tcW w:w="2254" w:type="dxa"/>
            <w:shd w:val="clear" w:color="auto" w:fill="548DD4"/>
          </w:tcPr>
          <w:p w14:paraId="00000077" w14:textId="77777777" w:rsidR="00932F8D" w:rsidRDefault="005A0029">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14:paraId="00000078" w14:textId="77777777" w:rsidR="00932F8D" w:rsidRDefault="005A0029">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14:paraId="00000079" w14:textId="77777777" w:rsidR="00932F8D" w:rsidRDefault="005A0029">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932F8D" w14:paraId="4FF2B353" w14:textId="77777777">
        <w:tc>
          <w:tcPr>
            <w:tcW w:w="2254" w:type="dxa"/>
            <w:vMerge w:val="restart"/>
          </w:tcPr>
          <w:p w14:paraId="0000007A"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14:paraId="0000007B" w14:textId="77777777" w:rsidR="00932F8D" w:rsidRDefault="00932F8D">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14:paraId="0000007C"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0000007D"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932F8D" w14:paraId="2CD6454E" w14:textId="77777777">
        <w:trPr>
          <w:trHeight w:val="701"/>
        </w:trPr>
        <w:tc>
          <w:tcPr>
            <w:tcW w:w="2254" w:type="dxa"/>
            <w:vMerge/>
          </w:tcPr>
          <w:p w14:paraId="0000007E" w14:textId="77777777" w:rsidR="00932F8D" w:rsidRDefault="00932F8D">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14:paraId="0000007F" w14:textId="77777777" w:rsidR="00932F8D" w:rsidRDefault="00932F8D">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14:paraId="00000080"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00000081"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932F8D" w14:paraId="332D861F" w14:textId="77777777">
        <w:tc>
          <w:tcPr>
            <w:tcW w:w="2254" w:type="dxa"/>
            <w:vMerge w:val="restart"/>
          </w:tcPr>
          <w:p w14:paraId="00000082"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SC2]</w:t>
            </w:r>
          </w:p>
        </w:tc>
        <w:tc>
          <w:tcPr>
            <w:tcW w:w="2254" w:type="dxa"/>
            <w:vMerge w:val="restart"/>
          </w:tcPr>
          <w:p w14:paraId="00000083" w14:textId="77777777" w:rsidR="00932F8D" w:rsidRDefault="00932F8D">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14:paraId="00000084"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00000085"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932F8D" w14:paraId="747F235B" w14:textId="77777777">
        <w:tc>
          <w:tcPr>
            <w:tcW w:w="2254" w:type="dxa"/>
            <w:vMerge/>
          </w:tcPr>
          <w:p w14:paraId="00000086" w14:textId="77777777" w:rsidR="00932F8D" w:rsidRDefault="00932F8D">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14:paraId="00000087" w14:textId="77777777" w:rsidR="00932F8D" w:rsidRDefault="00932F8D">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14:paraId="00000088"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00000089" w14:textId="77777777" w:rsidR="00932F8D" w:rsidRDefault="005A0029">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bl>
    <w:p w14:paraId="0000008A" w14:textId="77777777" w:rsidR="00932F8D" w:rsidRDefault="00932F8D">
      <w:pPr>
        <w:rPr>
          <w:rFonts w:ascii="Arial" w:eastAsia="Arial" w:hAnsi="Arial" w:cs="Arial"/>
          <w:b/>
          <w:sz w:val="24"/>
          <w:szCs w:val="24"/>
        </w:rPr>
        <w:sectPr w:rsidR="00932F8D" w:rsidSect="00AE7B48">
          <w:pgSz w:w="11906" w:h="16838"/>
          <w:pgMar w:top="1888" w:right="1440" w:bottom="1440" w:left="1440" w:header="709" w:footer="709" w:gutter="0"/>
          <w:pgNumType w:start="1"/>
          <w:cols w:space="720"/>
          <w:docGrid w:linePitch="299"/>
        </w:sectPr>
      </w:pPr>
    </w:p>
    <w:p w14:paraId="0000008B" w14:textId="77777777" w:rsidR="00932F8D" w:rsidRDefault="00932F8D">
      <w:pPr>
        <w:rPr>
          <w:rFonts w:ascii="Arial" w:eastAsia="Arial" w:hAnsi="Arial" w:cs="Arial"/>
          <w:b/>
          <w:sz w:val="24"/>
          <w:szCs w:val="24"/>
        </w:rPr>
      </w:pPr>
    </w:p>
    <w:sectPr w:rsidR="00932F8D">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5200A" w14:textId="77777777" w:rsidR="008E0CA8" w:rsidRDefault="008E0CA8">
      <w:pPr>
        <w:spacing w:after="0" w:line="240" w:lineRule="auto"/>
      </w:pPr>
      <w:r>
        <w:separator/>
      </w:r>
    </w:p>
  </w:endnote>
  <w:endnote w:type="continuationSeparator" w:id="0">
    <w:p w14:paraId="703BAF09" w14:textId="77777777" w:rsidR="008E0CA8" w:rsidRDefault="008E0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3" w14:textId="77777777" w:rsidR="00932F8D" w:rsidRDefault="005A002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94" w14:textId="391A740E" w:rsidR="00932F8D" w:rsidRDefault="005A00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178F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95" w14:textId="77777777" w:rsidR="00932F8D" w:rsidRDefault="005A002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0" w14:textId="77777777" w:rsidR="00932F8D" w:rsidRDefault="005A0029">
    <w:pPr>
      <w:tabs>
        <w:tab w:val="center" w:pos="4513"/>
        <w:tab w:val="right" w:pos="9026"/>
      </w:tabs>
      <w:spacing w:after="0"/>
    </w:pPr>
    <w:r>
      <w:t>Framework Ref: RM</w:t>
    </w:r>
    <w:r>
      <w:tab/>
      <w:t xml:space="preserve">                                           </w:t>
    </w:r>
  </w:p>
  <w:p w14:paraId="00000091" w14:textId="77777777" w:rsidR="00932F8D" w:rsidRDefault="005A00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92" w14:textId="77777777" w:rsidR="00932F8D" w:rsidRDefault="005A002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2BE02" w14:textId="77777777" w:rsidR="008E0CA8" w:rsidRDefault="008E0CA8">
      <w:pPr>
        <w:spacing w:after="0" w:line="240" w:lineRule="auto"/>
      </w:pPr>
      <w:r>
        <w:separator/>
      </w:r>
    </w:p>
  </w:footnote>
  <w:footnote w:type="continuationSeparator" w:id="0">
    <w:p w14:paraId="6EE1DE55" w14:textId="77777777" w:rsidR="008E0CA8" w:rsidRDefault="008E0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E" w14:textId="77777777" w:rsidR="00932F8D" w:rsidRDefault="005A002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8F" w14:textId="77777777" w:rsidR="00932F8D" w:rsidRDefault="005A00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C" w14:textId="77777777" w:rsidR="00932F8D" w:rsidRDefault="005A002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8D" w14:textId="77777777" w:rsidR="00932F8D" w:rsidRDefault="005A002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5F3E96"/>
    <w:multiLevelType w:val="multilevel"/>
    <w:tmpl w:val="7250FC4A"/>
    <w:styleLink w:val="LFO12"/>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D8607B1"/>
    <w:multiLevelType w:val="multilevel"/>
    <w:tmpl w:val="B4C0DE40"/>
    <w:lvl w:ilvl="0">
      <w:start w:val="2"/>
      <w:numFmt w:val="decimal"/>
      <w:pStyle w:val="GPSL1CLAUSEHEADING"/>
      <w:lvlText w:val="%1."/>
      <w:lvlJc w:val="left"/>
      <w:pPr>
        <w:ind w:left="360" w:hanging="360"/>
      </w:pPr>
      <w:rPr>
        <w:rFonts w:hint="default"/>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rFonts w:hint="default"/>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772936E4"/>
    <w:multiLevelType w:val="multilevel"/>
    <w:tmpl w:val="FF12FD64"/>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D225924"/>
    <w:multiLevelType w:val="multilevel"/>
    <w:tmpl w:val="F146BE5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F8D"/>
    <w:rsid w:val="001178F4"/>
    <w:rsid w:val="00151063"/>
    <w:rsid w:val="001C03DB"/>
    <w:rsid w:val="004C6BC4"/>
    <w:rsid w:val="00530A77"/>
    <w:rsid w:val="005A0029"/>
    <w:rsid w:val="00763857"/>
    <w:rsid w:val="00787B35"/>
    <w:rsid w:val="00861889"/>
    <w:rsid w:val="00881A30"/>
    <w:rsid w:val="008E0CA8"/>
    <w:rsid w:val="00932F8D"/>
    <w:rsid w:val="00933FB7"/>
    <w:rsid w:val="00AE7B48"/>
    <w:rsid w:val="00B93C53"/>
    <w:rsid w:val="00BA3757"/>
    <w:rsid w:val="00C12E31"/>
    <w:rsid w:val="00C23E4C"/>
    <w:rsid w:val="00C66BF5"/>
    <w:rsid w:val="00D9680F"/>
    <w:rsid w:val="00E24B45"/>
    <w:rsid w:val="00F6349F"/>
    <w:rsid w:val="00FA07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592C9"/>
  <w15:docId w15:val="{2DD48521-14B6-4755-91E0-35E0E267E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GPSL5numberedclauseChar">
    <w:name w:val="GPS L5 numbered clause Char"/>
    <w:link w:val="GPSL5numberedclause"/>
    <w:locked/>
    <w:rsid w:val="00C11BAF"/>
    <w:rPr>
      <w:rFonts w:eastAsia="Times New Roman" w:cs="Arial"/>
      <w:szCs w:val="20"/>
      <w:lang w:eastAsia="zh-CN"/>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numbering" w:customStyle="1" w:styleId="LFO12">
    <w:name w:val="LFO12"/>
    <w:basedOn w:val="NoList"/>
    <w:rsid w:val="0015106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kBZgmPCRuKKLVCoKM6t3S0nL3Q==">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Edmonds1</dc:creator>
  <cp:lastModifiedBy>Mark Kowe</cp:lastModifiedBy>
  <cp:revision>2</cp:revision>
  <dcterms:created xsi:type="dcterms:W3CDTF">2023-08-23T16:47:00Z</dcterms:created>
  <dcterms:modified xsi:type="dcterms:W3CDTF">2023-08-23T16:47:00Z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